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CF9" w:rsidRDefault="00FB5CF9" w:rsidP="001C5FBE">
      <w:pPr>
        <w:pStyle w:val="61"/>
        <w:jc w:val="center"/>
        <w:rPr>
          <w:b/>
        </w:rPr>
      </w:pPr>
      <w:r w:rsidRPr="004A59D4">
        <w:rPr>
          <w:b/>
        </w:rPr>
        <w:t>Информация о</w:t>
      </w:r>
      <w:r w:rsidR="001C5FBE">
        <w:rPr>
          <w:b/>
        </w:rPr>
        <w:t>б основных итогах</w:t>
      </w:r>
      <w:r w:rsidRPr="004A59D4">
        <w:rPr>
          <w:b/>
        </w:rPr>
        <w:t xml:space="preserve"> экспертно-аналитического мероприятия </w:t>
      </w:r>
    </w:p>
    <w:p w:rsidR="00FE5725" w:rsidRDefault="00FE5725" w:rsidP="00FE5725">
      <w:pPr>
        <w:jc w:val="center"/>
        <w:outlineLvl w:val="0"/>
        <w:rPr>
          <w:b/>
          <w:sz w:val="28"/>
          <w:szCs w:val="28"/>
        </w:rPr>
      </w:pPr>
      <w:r w:rsidRPr="00FE5725">
        <w:rPr>
          <w:b/>
          <w:sz w:val="28"/>
          <w:szCs w:val="28"/>
        </w:rPr>
        <w:t>«</w:t>
      </w:r>
      <w:r w:rsidRPr="00FE5725">
        <w:rPr>
          <w:b/>
          <w:bCs/>
          <w:sz w:val="28"/>
          <w:szCs w:val="28"/>
        </w:rPr>
        <w:t>Контроль за состоянием муниципального внутреннего и внешнего долга</w:t>
      </w:r>
      <w:r w:rsidRPr="00FE5725">
        <w:rPr>
          <w:b/>
          <w:sz w:val="28"/>
          <w:szCs w:val="28"/>
        </w:rPr>
        <w:t>»</w:t>
      </w:r>
    </w:p>
    <w:p w:rsidR="001C5FBE" w:rsidRDefault="00FE5725" w:rsidP="00FE5725">
      <w:pPr>
        <w:pStyle w:val="a8"/>
        <w:jc w:val="center"/>
        <w:rPr>
          <w:b/>
          <w:sz w:val="28"/>
          <w:szCs w:val="28"/>
        </w:rPr>
      </w:pPr>
      <w:r>
        <w:rPr>
          <w:b/>
          <w:sz w:val="28"/>
          <w:szCs w:val="28"/>
        </w:rPr>
        <w:t xml:space="preserve"> </w:t>
      </w:r>
      <w:r w:rsidR="001C5FBE">
        <w:rPr>
          <w:b/>
          <w:sz w:val="28"/>
          <w:szCs w:val="28"/>
        </w:rPr>
        <w:t>(</w:t>
      </w:r>
      <w:proofErr w:type="gramStart"/>
      <w:r w:rsidR="001C5FBE">
        <w:rPr>
          <w:b/>
          <w:sz w:val="28"/>
          <w:szCs w:val="28"/>
        </w:rPr>
        <w:t>закл</w:t>
      </w:r>
      <w:bookmarkStart w:id="0" w:name="_GoBack"/>
      <w:bookmarkEnd w:id="0"/>
      <w:r w:rsidR="001C5FBE">
        <w:rPr>
          <w:b/>
          <w:sz w:val="28"/>
          <w:szCs w:val="28"/>
        </w:rPr>
        <w:t>ючение</w:t>
      </w:r>
      <w:proofErr w:type="gramEnd"/>
      <w:r w:rsidR="001C5FBE">
        <w:rPr>
          <w:b/>
          <w:sz w:val="28"/>
          <w:szCs w:val="28"/>
        </w:rPr>
        <w:t xml:space="preserve"> от </w:t>
      </w:r>
      <w:r>
        <w:rPr>
          <w:b/>
          <w:sz w:val="28"/>
          <w:szCs w:val="28"/>
        </w:rPr>
        <w:t>20</w:t>
      </w:r>
      <w:r w:rsidR="001C5FBE">
        <w:rPr>
          <w:b/>
          <w:sz w:val="28"/>
          <w:szCs w:val="28"/>
        </w:rPr>
        <w:t>.06.202</w:t>
      </w:r>
      <w:r w:rsidR="00990AA5">
        <w:rPr>
          <w:b/>
          <w:sz w:val="28"/>
          <w:szCs w:val="28"/>
        </w:rPr>
        <w:t>4</w:t>
      </w:r>
      <w:r w:rsidR="001C5FBE">
        <w:rPr>
          <w:b/>
          <w:sz w:val="28"/>
          <w:szCs w:val="28"/>
        </w:rPr>
        <w:t xml:space="preserve"> №02-02/3-</w:t>
      </w:r>
      <w:r>
        <w:rPr>
          <w:b/>
          <w:sz w:val="28"/>
          <w:szCs w:val="28"/>
        </w:rPr>
        <w:t>5</w:t>
      </w:r>
      <w:r w:rsidR="001C5FBE">
        <w:rPr>
          <w:b/>
          <w:sz w:val="28"/>
          <w:szCs w:val="28"/>
        </w:rPr>
        <w:t>)</w:t>
      </w:r>
    </w:p>
    <w:p w:rsidR="006F64B7" w:rsidRDefault="001C5FBE" w:rsidP="001C5FBE">
      <w:pPr>
        <w:pStyle w:val="a8"/>
        <w:ind w:left="0"/>
        <w:jc w:val="both"/>
        <w:rPr>
          <w:b/>
          <w:sz w:val="28"/>
          <w:szCs w:val="28"/>
        </w:rPr>
      </w:pPr>
      <w:r>
        <w:rPr>
          <w:b/>
          <w:sz w:val="28"/>
          <w:szCs w:val="28"/>
        </w:rPr>
        <w:tab/>
      </w:r>
    </w:p>
    <w:p w:rsidR="00FE5725" w:rsidRPr="00FE5725" w:rsidRDefault="001C5FBE" w:rsidP="00DD5216">
      <w:pPr>
        <w:ind w:firstLine="708"/>
        <w:jc w:val="both"/>
        <w:outlineLvl w:val="0"/>
        <w:rPr>
          <w:sz w:val="28"/>
          <w:szCs w:val="28"/>
        </w:rPr>
      </w:pPr>
      <w:r w:rsidRPr="001C5FBE">
        <w:rPr>
          <w:sz w:val="28"/>
          <w:szCs w:val="28"/>
        </w:rPr>
        <w:t>Контрольно-счетной палатой Озерского городского округа Челябинской области в соответствии с пунктом 2.</w:t>
      </w:r>
      <w:r w:rsidR="00FE5725">
        <w:rPr>
          <w:sz w:val="28"/>
          <w:szCs w:val="28"/>
        </w:rPr>
        <w:t>5</w:t>
      </w:r>
      <w:r w:rsidRPr="001C5FBE">
        <w:rPr>
          <w:sz w:val="28"/>
          <w:szCs w:val="28"/>
        </w:rPr>
        <w:t xml:space="preserve"> Плана работы на 202</w:t>
      </w:r>
      <w:r w:rsidR="00990AA5">
        <w:rPr>
          <w:sz w:val="28"/>
          <w:szCs w:val="28"/>
        </w:rPr>
        <w:t>4</w:t>
      </w:r>
      <w:r w:rsidRPr="001C5FBE">
        <w:rPr>
          <w:sz w:val="28"/>
          <w:szCs w:val="28"/>
        </w:rPr>
        <w:t xml:space="preserve"> год, утвержденного распоряжением Контрольно-счетной палаты округа Озерского городского округа Челябинской области от 2</w:t>
      </w:r>
      <w:r w:rsidR="00990AA5">
        <w:rPr>
          <w:sz w:val="28"/>
          <w:szCs w:val="28"/>
        </w:rPr>
        <w:t>7</w:t>
      </w:r>
      <w:r w:rsidRPr="001C5FBE">
        <w:rPr>
          <w:sz w:val="28"/>
          <w:szCs w:val="28"/>
        </w:rPr>
        <w:t>.1</w:t>
      </w:r>
      <w:r w:rsidR="00990AA5">
        <w:rPr>
          <w:sz w:val="28"/>
          <w:szCs w:val="28"/>
        </w:rPr>
        <w:t>2</w:t>
      </w:r>
      <w:r w:rsidRPr="001C5FBE">
        <w:rPr>
          <w:sz w:val="28"/>
          <w:szCs w:val="28"/>
        </w:rPr>
        <w:t>.202</w:t>
      </w:r>
      <w:r w:rsidR="00990AA5">
        <w:rPr>
          <w:sz w:val="28"/>
          <w:szCs w:val="28"/>
        </w:rPr>
        <w:t>3</w:t>
      </w:r>
      <w:r w:rsidRPr="001C5FBE">
        <w:rPr>
          <w:sz w:val="28"/>
          <w:szCs w:val="28"/>
        </w:rPr>
        <w:t xml:space="preserve"> №</w:t>
      </w:r>
      <w:r w:rsidRPr="001C5FBE">
        <w:rPr>
          <w:sz w:val="28"/>
          <w:szCs w:val="28"/>
          <w:lang w:val="en-US"/>
        </w:rPr>
        <w:t> </w:t>
      </w:r>
      <w:r w:rsidR="00990AA5">
        <w:rPr>
          <w:sz w:val="28"/>
          <w:szCs w:val="28"/>
        </w:rPr>
        <w:t>84</w:t>
      </w:r>
      <w:r w:rsidRPr="001C5FBE">
        <w:rPr>
          <w:sz w:val="28"/>
          <w:szCs w:val="28"/>
        </w:rPr>
        <w:t xml:space="preserve"> проведено экспертно-аналитическое мероприятие </w:t>
      </w:r>
      <w:r w:rsidR="00FE5725" w:rsidRPr="00FE5725">
        <w:rPr>
          <w:sz w:val="28"/>
          <w:szCs w:val="28"/>
        </w:rPr>
        <w:t>«</w:t>
      </w:r>
      <w:r w:rsidR="00FE5725" w:rsidRPr="00FE5725">
        <w:rPr>
          <w:bCs/>
          <w:sz w:val="28"/>
          <w:szCs w:val="28"/>
        </w:rPr>
        <w:t>Контроль за состоянием муниципального внутреннего и внешнего долга</w:t>
      </w:r>
      <w:r w:rsidR="00FE5725" w:rsidRPr="00FE5725">
        <w:rPr>
          <w:sz w:val="28"/>
          <w:szCs w:val="28"/>
        </w:rPr>
        <w:t>»</w:t>
      </w:r>
      <w:r w:rsidR="00FE5725">
        <w:rPr>
          <w:sz w:val="28"/>
          <w:szCs w:val="28"/>
        </w:rPr>
        <w:t>.</w:t>
      </w:r>
    </w:p>
    <w:p w:rsidR="001C5FBE" w:rsidRPr="001C5FBE" w:rsidRDefault="001C5FBE" w:rsidP="00DD5216">
      <w:pPr>
        <w:pStyle w:val="a8"/>
        <w:spacing w:after="0"/>
        <w:ind w:left="0" w:firstLine="709"/>
        <w:jc w:val="both"/>
        <w:rPr>
          <w:i/>
          <w:sz w:val="28"/>
          <w:szCs w:val="28"/>
        </w:rPr>
      </w:pPr>
      <w:r w:rsidRPr="001C5FBE">
        <w:rPr>
          <w:i/>
          <w:sz w:val="28"/>
          <w:szCs w:val="28"/>
        </w:rPr>
        <w:t>Цель экспертно-аналитического мероприятия:</w:t>
      </w:r>
    </w:p>
    <w:p w:rsidR="00FE5725" w:rsidRPr="00FE5725" w:rsidRDefault="001C5FBE" w:rsidP="00DD5216">
      <w:pPr>
        <w:jc w:val="both"/>
        <w:outlineLvl w:val="0"/>
        <w:rPr>
          <w:sz w:val="28"/>
          <w:szCs w:val="28"/>
        </w:rPr>
      </w:pPr>
      <w:r w:rsidRPr="001C5FBE">
        <w:rPr>
          <w:rFonts w:eastAsia="Calibri"/>
          <w:sz w:val="16"/>
          <w:szCs w:val="16"/>
        </w:rPr>
        <w:tab/>
      </w:r>
      <w:r w:rsidR="00FE5725" w:rsidRPr="00FE5725">
        <w:rPr>
          <w:rFonts w:eastAsia="Calibri"/>
          <w:sz w:val="28"/>
          <w:szCs w:val="28"/>
        </w:rPr>
        <w:t>О</w:t>
      </w:r>
      <w:r w:rsidR="00FE5725" w:rsidRPr="00FE5725">
        <w:rPr>
          <w:sz w:val="28"/>
          <w:szCs w:val="28"/>
        </w:rPr>
        <w:t>существление контроля за соблюдением требований действующего законодательства в процессе формирования и управления муниципальным долгом, оценка эффективности управления и обслуживания муниципального долга, осуществление контроля за правильностью ведения муниципальной долговой книги, своевременностью погашения долговых обязательств.</w:t>
      </w:r>
    </w:p>
    <w:p w:rsidR="00DD5216" w:rsidRDefault="001C5FBE" w:rsidP="00DD5216">
      <w:pPr>
        <w:pStyle w:val="a8"/>
        <w:spacing w:after="0"/>
        <w:ind w:firstLine="425"/>
        <w:jc w:val="both"/>
        <w:rPr>
          <w:i/>
          <w:sz w:val="28"/>
          <w:szCs w:val="28"/>
        </w:rPr>
      </w:pPr>
      <w:r w:rsidRPr="001C5FBE">
        <w:rPr>
          <w:i/>
          <w:sz w:val="28"/>
          <w:szCs w:val="28"/>
        </w:rPr>
        <w:t>Объект экспертно-аналитического мероприятия:</w:t>
      </w:r>
    </w:p>
    <w:p w:rsidR="001C5FBE" w:rsidRDefault="00FE5725" w:rsidP="00DD5216">
      <w:pPr>
        <w:pStyle w:val="a8"/>
        <w:spacing w:after="0"/>
        <w:ind w:firstLine="425"/>
        <w:jc w:val="both"/>
        <w:rPr>
          <w:sz w:val="28"/>
          <w:szCs w:val="28"/>
        </w:rPr>
      </w:pPr>
      <w:r w:rsidRPr="00EA336F">
        <w:rPr>
          <w:sz w:val="28"/>
          <w:szCs w:val="28"/>
        </w:rPr>
        <w:t>Управление по финансам администрации Озерского городского округа Челябинской области</w:t>
      </w:r>
      <w:r w:rsidR="00DD5216">
        <w:rPr>
          <w:sz w:val="28"/>
          <w:szCs w:val="28"/>
        </w:rPr>
        <w:t xml:space="preserve"> (далее – Управление по финансам)</w:t>
      </w:r>
      <w:r>
        <w:rPr>
          <w:sz w:val="28"/>
          <w:szCs w:val="28"/>
        </w:rPr>
        <w:t>.</w:t>
      </w:r>
    </w:p>
    <w:p w:rsidR="00FE5725" w:rsidRDefault="001C5FBE" w:rsidP="00DD5216">
      <w:pPr>
        <w:jc w:val="both"/>
        <w:rPr>
          <w:rFonts w:eastAsia="Calibri"/>
          <w:sz w:val="28"/>
          <w:szCs w:val="28"/>
        </w:rPr>
      </w:pPr>
      <w:r w:rsidRPr="001C5FBE">
        <w:rPr>
          <w:rFonts w:eastAsia="Calibri"/>
          <w:sz w:val="28"/>
          <w:szCs w:val="28"/>
        </w:rPr>
        <w:tab/>
      </w:r>
      <w:r w:rsidRPr="001C5FBE">
        <w:rPr>
          <w:rFonts w:eastAsia="Calibri"/>
          <w:i/>
          <w:sz w:val="28"/>
          <w:szCs w:val="28"/>
        </w:rPr>
        <w:t>Проверяемый период:</w:t>
      </w:r>
      <w:r w:rsidRPr="001C5FBE">
        <w:rPr>
          <w:rFonts w:eastAsia="Calibri"/>
          <w:sz w:val="24"/>
          <w:szCs w:val="24"/>
        </w:rPr>
        <w:t xml:space="preserve"> </w:t>
      </w:r>
      <w:r w:rsidR="00FE5725" w:rsidRPr="00FE5725">
        <w:rPr>
          <w:rFonts w:eastAsia="Calibri"/>
          <w:sz w:val="28"/>
          <w:szCs w:val="28"/>
        </w:rPr>
        <w:t>2023 год и текущий период 2024 года (по состоянию на 01.05.2024).</w:t>
      </w:r>
    </w:p>
    <w:p w:rsidR="00C238C1" w:rsidRDefault="007F1958" w:rsidP="00DD5216">
      <w:pPr>
        <w:jc w:val="both"/>
        <w:rPr>
          <w:i/>
          <w:sz w:val="28"/>
          <w:szCs w:val="28"/>
        </w:rPr>
      </w:pPr>
      <w:r>
        <w:rPr>
          <w:szCs w:val="28"/>
        </w:rPr>
        <w:tab/>
      </w:r>
      <w:r w:rsidRPr="00FE5725">
        <w:rPr>
          <w:i/>
          <w:sz w:val="28"/>
          <w:szCs w:val="28"/>
        </w:rPr>
        <w:t>По результатам проведенного экспертно-аналитического мероприятия установлено</w:t>
      </w:r>
      <w:r w:rsidR="00C238C1" w:rsidRPr="00FE5725">
        <w:rPr>
          <w:i/>
          <w:sz w:val="28"/>
          <w:szCs w:val="28"/>
        </w:rPr>
        <w:t xml:space="preserve"> следующее.</w:t>
      </w:r>
    </w:p>
    <w:p w:rsidR="00A55CAE" w:rsidRPr="00A55CAE" w:rsidRDefault="00A55CAE" w:rsidP="00DD5216">
      <w:pPr>
        <w:ind w:firstLine="709"/>
        <w:jc w:val="both"/>
        <w:rPr>
          <w:sz w:val="28"/>
          <w:szCs w:val="28"/>
        </w:rPr>
      </w:pPr>
      <w:r>
        <w:rPr>
          <w:sz w:val="28"/>
          <w:szCs w:val="28"/>
        </w:rPr>
        <w:t xml:space="preserve">1. </w:t>
      </w:r>
      <w:r w:rsidRPr="00A55CAE">
        <w:rPr>
          <w:sz w:val="28"/>
          <w:szCs w:val="28"/>
        </w:rPr>
        <w:t>Муниципальные правовые акты Озерского городского округа, регулирующие вопросы управления муниципальным долгом, предоставления муниципальных гарантий, ведения муниципальной долговой книги муниципального образования, требуют актуализации.</w:t>
      </w:r>
    </w:p>
    <w:p w:rsidR="00A55CAE" w:rsidRPr="00A55CAE" w:rsidRDefault="00A55CAE" w:rsidP="00A55CAE">
      <w:pPr>
        <w:ind w:firstLine="709"/>
        <w:jc w:val="both"/>
        <w:rPr>
          <w:sz w:val="28"/>
          <w:szCs w:val="28"/>
        </w:rPr>
      </w:pPr>
      <w:r>
        <w:rPr>
          <w:sz w:val="28"/>
          <w:szCs w:val="28"/>
        </w:rPr>
        <w:t xml:space="preserve">2. </w:t>
      </w:r>
      <w:r w:rsidRPr="00A55CAE">
        <w:rPr>
          <w:sz w:val="28"/>
          <w:szCs w:val="28"/>
        </w:rPr>
        <w:t>Деятельность муниципального образования Озерский городской округ направлена на недопущение рисков неисполнения параметров бюджета округа, поддержание муниципального долга в объеме, обеспечивающем возможность гарантированного выполнения долговых обязательств, сохранение финансовой устойчивости и сбалансированности бюджета Озерского городского округа.</w:t>
      </w:r>
    </w:p>
    <w:p w:rsidR="00A55CAE" w:rsidRPr="00A55CAE" w:rsidRDefault="00A55CAE" w:rsidP="00A55CAE">
      <w:pPr>
        <w:ind w:firstLine="709"/>
        <w:jc w:val="both"/>
        <w:rPr>
          <w:sz w:val="28"/>
          <w:szCs w:val="28"/>
        </w:rPr>
      </w:pPr>
      <w:r w:rsidRPr="00A55CAE">
        <w:rPr>
          <w:sz w:val="28"/>
          <w:szCs w:val="28"/>
        </w:rPr>
        <w:t>3.  Муниципальный долг в Озерском городском округе снизился со 105 000,0 тыс. рублей на 1 января 2020 года до 34 000,0 тыс. рублей на 1 января 2024 года (снижение в 3,1 раза), расходы на обслуживание муниципального долга снизились с 3 149,5 тыс.рублей на 1 января 2020 года до 34,0 тыс.рублей на 01.01.2024 года (снижение в 92,6 раза), что свидетельствует о проведении эффективной долговой политики в округе.</w:t>
      </w:r>
    </w:p>
    <w:p w:rsidR="00A55CAE" w:rsidRPr="00A55CAE" w:rsidRDefault="00A55CAE" w:rsidP="00A55CAE">
      <w:pPr>
        <w:autoSpaceDE w:val="0"/>
        <w:autoSpaceDN w:val="0"/>
        <w:adjustRightInd w:val="0"/>
        <w:ind w:firstLine="540"/>
        <w:jc w:val="both"/>
        <w:rPr>
          <w:sz w:val="28"/>
          <w:szCs w:val="28"/>
        </w:rPr>
      </w:pPr>
      <w:r w:rsidRPr="00A55CAE">
        <w:rPr>
          <w:sz w:val="28"/>
          <w:szCs w:val="28"/>
        </w:rPr>
        <w:t xml:space="preserve">  4.  Верхний предел муниципального долга по состоянию на 01.01.2023, на 01.01.2024 установлен в размере 34 000,0 тыс. рублей, верхний предел долга по муниципальным гарантиям – 0,0 тыс. рублей, что не противоречит нормам статьи 107 БК РФ. </w:t>
      </w:r>
    </w:p>
    <w:p w:rsidR="00A55CAE" w:rsidRPr="00A55CAE" w:rsidRDefault="00A55CAE" w:rsidP="00A55CAE">
      <w:pPr>
        <w:suppressLineNumbers/>
        <w:ind w:firstLine="540"/>
        <w:jc w:val="both"/>
        <w:rPr>
          <w:sz w:val="28"/>
          <w:szCs w:val="28"/>
        </w:rPr>
      </w:pPr>
      <w:r w:rsidRPr="00A55CAE">
        <w:rPr>
          <w:sz w:val="28"/>
          <w:szCs w:val="28"/>
        </w:rPr>
        <w:t xml:space="preserve">Муниципальные гарантии и бюджетные кредиты за счет средств бюджета Озерского городского округа в 2023 году в соответствии с РСД ОГО от 22.12.2022 </w:t>
      </w:r>
      <w:r w:rsidRPr="00A55CAE">
        <w:rPr>
          <w:sz w:val="28"/>
          <w:szCs w:val="28"/>
        </w:rPr>
        <w:lastRenderedPageBreak/>
        <w:t>№ 225, в 2024 году (по состоянию на 01.05.2024) в соответствии с РСД ОГО от 26.12.2023 № 231, не предоставлялись.</w:t>
      </w:r>
    </w:p>
    <w:p w:rsidR="00A55CAE" w:rsidRPr="00A55CAE" w:rsidRDefault="00A55CAE" w:rsidP="00A55CAE">
      <w:pPr>
        <w:widowControl w:val="0"/>
        <w:ind w:firstLine="540"/>
        <w:jc w:val="both"/>
        <w:rPr>
          <w:color w:val="000000"/>
          <w:sz w:val="28"/>
          <w:szCs w:val="28"/>
        </w:rPr>
      </w:pPr>
      <w:r w:rsidRPr="00A55CAE">
        <w:rPr>
          <w:sz w:val="28"/>
          <w:szCs w:val="28"/>
        </w:rPr>
        <w:t xml:space="preserve">  5.</w:t>
      </w:r>
      <w:r w:rsidRPr="00A55CAE">
        <w:rPr>
          <w:color w:val="000000"/>
          <w:sz w:val="28"/>
          <w:szCs w:val="28"/>
        </w:rPr>
        <w:t xml:space="preserve">  Утвержденные </w:t>
      </w:r>
      <w:r w:rsidRPr="00A55CAE">
        <w:rPr>
          <w:sz w:val="28"/>
          <w:szCs w:val="28"/>
        </w:rPr>
        <w:t>РСД ОГО от 22.12.2022 № 225, от 26.12.2023 № 231</w:t>
      </w:r>
      <w:r w:rsidRPr="00A55CAE">
        <w:rPr>
          <w:color w:val="000000"/>
          <w:sz w:val="28"/>
          <w:szCs w:val="28"/>
        </w:rPr>
        <w:t xml:space="preserve"> в анализируемом периоде программы муниципальных заимствований соответствуют требованиям статьи 110.1 БК РФ.</w:t>
      </w:r>
    </w:p>
    <w:p w:rsidR="00A55CAE" w:rsidRPr="00A55CAE" w:rsidRDefault="00A55CAE" w:rsidP="00A55CAE">
      <w:pPr>
        <w:autoSpaceDE w:val="0"/>
        <w:autoSpaceDN w:val="0"/>
        <w:adjustRightInd w:val="0"/>
        <w:jc w:val="both"/>
        <w:rPr>
          <w:sz w:val="28"/>
          <w:szCs w:val="28"/>
        </w:rPr>
      </w:pPr>
      <w:r w:rsidRPr="00A55CAE">
        <w:rPr>
          <w:color w:val="000000"/>
          <w:sz w:val="28"/>
          <w:szCs w:val="28"/>
        </w:rPr>
        <w:t xml:space="preserve">         6.  </w:t>
      </w:r>
      <w:r w:rsidRPr="00A55CAE">
        <w:rPr>
          <w:sz w:val="28"/>
          <w:szCs w:val="28"/>
        </w:rPr>
        <w:t>Муниципальные внешние заимствования в бюджет Озерского городского округа не привлекались.</w:t>
      </w:r>
    </w:p>
    <w:p w:rsidR="00A55CAE" w:rsidRPr="00A55CAE" w:rsidRDefault="00A55CAE" w:rsidP="00A55CAE">
      <w:pPr>
        <w:autoSpaceDE w:val="0"/>
        <w:autoSpaceDN w:val="0"/>
        <w:adjustRightInd w:val="0"/>
        <w:jc w:val="both"/>
        <w:rPr>
          <w:sz w:val="28"/>
          <w:szCs w:val="28"/>
        </w:rPr>
      </w:pPr>
      <w:r w:rsidRPr="00A55CAE">
        <w:rPr>
          <w:sz w:val="28"/>
          <w:szCs w:val="28"/>
        </w:rPr>
        <w:tab/>
        <w:t>7.  </w:t>
      </w:r>
      <w:r w:rsidRPr="00A55CAE">
        <w:rPr>
          <w:bCs/>
          <w:sz w:val="28"/>
          <w:szCs w:val="28"/>
        </w:rPr>
        <w:t xml:space="preserve">Структура муниципального долга </w:t>
      </w:r>
      <w:r w:rsidRPr="00A55CAE">
        <w:rPr>
          <w:sz w:val="28"/>
          <w:szCs w:val="28"/>
        </w:rPr>
        <w:t xml:space="preserve">за период 2023 года и по состоянию на 01.05.2024 состоит из бюджетного кредита, предоставленного из бюджета Челябинской области в размере 34 000,0 тыс. рублей. </w:t>
      </w:r>
    </w:p>
    <w:p w:rsidR="00A55CAE" w:rsidRPr="00A55CAE" w:rsidRDefault="00A55CAE" w:rsidP="00A55CAE">
      <w:pPr>
        <w:widowControl w:val="0"/>
        <w:ind w:firstLine="680"/>
        <w:jc w:val="both"/>
        <w:rPr>
          <w:color w:val="000000"/>
          <w:sz w:val="28"/>
          <w:szCs w:val="22"/>
        </w:rPr>
      </w:pPr>
      <w:r w:rsidRPr="00A55CAE">
        <w:rPr>
          <w:sz w:val="28"/>
          <w:szCs w:val="28"/>
        </w:rPr>
        <w:tab/>
        <w:t>8.</w:t>
      </w:r>
      <w:r w:rsidRPr="00A55CAE">
        <w:rPr>
          <w:color w:val="000000"/>
          <w:sz w:val="28"/>
          <w:szCs w:val="22"/>
        </w:rPr>
        <w:t xml:space="preserve">  Подлежащие отражению в соответствии с пунктом 4 статьи 121 БК РФ сведения об объеме долговых обязательств, дате их возникновения (заимствования) и исполнения (погашения) в анализируемом периоде отражены в разделе </w:t>
      </w:r>
      <w:r w:rsidRPr="00A55CAE">
        <w:rPr>
          <w:color w:val="000000"/>
          <w:sz w:val="28"/>
          <w:szCs w:val="22"/>
          <w:lang w:val="en-US"/>
        </w:rPr>
        <w:t>II</w:t>
      </w:r>
      <w:r w:rsidRPr="00A55CAE">
        <w:rPr>
          <w:color w:val="000000"/>
          <w:sz w:val="28"/>
          <w:szCs w:val="22"/>
        </w:rPr>
        <w:t xml:space="preserve"> «Договоры и соглашения о получении кредитов от бюджетов других уровней бюджетной системы Российской Федерации» долговой книги.</w:t>
      </w:r>
    </w:p>
    <w:p w:rsidR="00A55CAE" w:rsidRPr="00A55CAE" w:rsidRDefault="00A55CAE" w:rsidP="00A55CAE">
      <w:pPr>
        <w:widowControl w:val="0"/>
        <w:ind w:firstLine="680"/>
        <w:jc w:val="both"/>
        <w:rPr>
          <w:sz w:val="28"/>
          <w:szCs w:val="22"/>
        </w:rPr>
      </w:pPr>
      <w:r w:rsidRPr="00A55CAE">
        <w:rPr>
          <w:sz w:val="28"/>
          <w:szCs w:val="28"/>
        </w:rPr>
        <w:tab/>
        <w:t>9.  </w:t>
      </w:r>
      <w:r w:rsidRPr="00A55CAE">
        <w:rPr>
          <w:color w:val="000000"/>
          <w:sz w:val="28"/>
          <w:szCs w:val="22"/>
        </w:rPr>
        <w:t>Сведения, отраженные в долговой книге, соответствуют первичным учетным документам, данным регистров бюджетного учета (Журнал операций № 2 с безналичными денежными средствами, Журнал операций № 8 по прочим операциям, Главная книга), данным бюджетной отчетности на соответствующие отчетные даты, нарушений не установлено.</w:t>
      </w:r>
    </w:p>
    <w:p w:rsidR="00A55CAE" w:rsidRPr="00A55CAE" w:rsidRDefault="00A55CAE" w:rsidP="00A55CAE">
      <w:pPr>
        <w:widowControl w:val="0"/>
        <w:ind w:firstLine="720"/>
        <w:jc w:val="both"/>
        <w:rPr>
          <w:sz w:val="28"/>
          <w:szCs w:val="28"/>
        </w:rPr>
      </w:pPr>
      <w:r w:rsidRPr="00A55CAE">
        <w:rPr>
          <w:color w:val="000000"/>
          <w:sz w:val="28"/>
          <w:szCs w:val="28"/>
        </w:rPr>
        <w:t>10.  </w:t>
      </w:r>
      <w:r w:rsidRPr="00A55CAE">
        <w:rPr>
          <w:sz w:val="28"/>
          <w:szCs w:val="28"/>
        </w:rPr>
        <w:t>Просроченная задолженность по привлекаемым кредитным ресурсам и расходам по обслуживанию долговых обязательств отсутствует.</w:t>
      </w:r>
    </w:p>
    <w:p w:rsidR="00A55CAE" w:rsidRPr="00A55CAE" w:rsidRDefault="00A55CAE" w:rsidP="00A55CAE">
      <w:pPr>
        <w:widowControl w:val="0"/>
        <w:ind w:firstLine="720"/>
        <w:jc w:val="both"/>
        <w:rPr>
          <w:color w:val="FF0000"/>
          <w:sz w:val="28"/>
          <w:szCs w:val="28"/>
        </w:rPr>
      </w:pPr>
      <w:r w:rsidRPr="00A55CAE">
        <w:rPr>
          <w:sz w:val="28"/>
          <w:szCs w:val="28"/>
        </w:rPr>
        <w:t xml:space="preserve">11.  Погашение кредитов в анализируемом периоде не производилось. </w:t>
      </w:r>
    </w:p>
    <w:p w:rsidR="00A55CAE" w:rsidRPr="00A55CAE" w:rsidRDefault="00A55CAE" w:rsidP="00A55CAE">
      <w:pPr>
        <w:widowControl w:val="0"/>
        <w:ind w:firstLine="720"/>
        <w:jc w:val="both"/>
        <w:rPr>
          <w:sz w:val="28"/>
          <w:szCs w:val="28"/>
        </w:rPr>
      </w:pPr>
      <w:r w:rsidRPr="00A55CAE">
        <w:rPr>
          <w:sz w:val="28"/>
          <w:szCs w:val="28"/>
        </w:rPr>
        <w:t>При проверке правильности начисления процентных платежей в соответствии с условиями соглашения от 05.08.2022 № 11/2-3 о предоставлении бюджетного кредита в анализируемом периоде, нарушений не установлено.</w:t>
      </w:r>
    </w:p>
    <w:p w:rsidR="00A55CAE" w:rsidRPr="00A55CAE" w:rsidRDefault="00A55CAE" w:rsidP="00A55CAE">
      <w:pPr>
        <w:widowControl w:val="0"/>
        <w:ind w:firstLine="720"/>
        <w:jc w:val="both"/>
        <w:rPr>
          <w:sz w:val="28"/>
          <w:szCs w:val="28"/>
        </w:rPr>
      </w:pPr>
      <w:r w:rsidRPr="00A55CAE">
        <w:rPr>
          <w:sz w:val="28"/>
          <w:szCs w:val="28"/>
        </w:rPr>
        <w:t>12.  В анализируемом периоде объем расходов на обслуживание муниципального долга по данным бюджетной отчетности за соответствующий период составил 34,0 тыс.</w:t>
      </w:r>
      <w:r>
        <w:rPr>
          <w:sz w:val="28"/>
          <w:szCs w:val="28"/>
        </w:rPr>
        <w:t xml:space="preserve"> </w:t>
      </w:r>
      <w:r w:rsidRPr="00A55CAE">
        <w:rPr>
          <w:sz w:val="28"/>
          <w:szCs w:val="28"/>
        </w:rPr>
        <w:t>рублей, что не превышает ограничения, установленные статьей 111 БК РФ.</w:t>
      </w:r>
    </w:p>
    <w:p w:rsidR="00DD5216" w:rsidRDefault="00DD5216" w:rsidP="00DD5216">
      <w:pPr>
        <w:ind w:firstLine="566"/>
        <w:jc w:val="both"/>
        <w:outlineLvl w:val="0"/>
        <w:rPr>
          <w:sz w:val="28"/>
          <w:szCs w:val="28"/>
        </w:rPr>
      </w:pPr>
    </w:p>
    <w:p w:rsidR="00DD5216" w:rsidRDefault="00DD5216" w:rsidP="00DD5216">
      <w:pPr>
        <w:ind w:firstLine="566"/>
        <w:jc w:val="both"/>
        <w:outlineLvl w:val="0"/>
        <w:rPr>
          <w:sz w:val="28"/>
          <w:szCs w:val="28"/>
        </w:rPr>
      </w:pPr>
      <w:r>
        <w:rPr>
          <w:sz w:val="28"/>
          <w:szCs w:val="28"/>
        </w:rPr>
        <w:t>В адрес Управления по финансам и администрации Озерского городского округа направлены предложения Контрольно-счетной палаты Озерского городского округа по актуализации</w:t>
      </w:r>
      <w:r w:rsidRPr="00A55CAE">
        <w:rPr>
          <w:sz w:val="28"/>
          <w:szCs w:val="28"/>
        </w:rPr>
        <w:t xml:space="preserve"> </w:t>
      </w:r>
      <w:r>
        <w:rPr>
          <w:sz w:val="28"/>
          <w:szCs w:val="28"/>
        </w:rPr>
        <w:t>м</w:t>
      </w:r>
      <w:r w:rsidRPr="00A55CAE">
        <w:rPr>
          <w:sz w:val="28"/>
          <w:szCs w:val="28"/>
        </w:rPr>
        <w:t>униципальны</w:t>
      </w:r>
      <w:r>
        <w:rPr>
          <w:sz w:val="28"/>
          <w:szCs w:val="28"/>
        </w:rPr>
        <w:t>х</w:t>
      </w:r>
      <w:r w:rsidRPr="00A55CAE">
        <w:rPr>
          <w:sz w:val="28"/>
          <w:szCs w:val="28"/>
        </w:rPr>
        <w:t xml:space="preserve"> правовы</w:t>
      </w:r>
      <w:r>
        <w:rPr>
          <w:sz w:val="28"/>
          <w:szCs w:val="28"/>
        </w:rPr>
        <w:t>х</w:t>
      </w:r>
      <w:r w:rsidRPr="00A55CAE">
        <w:rPr>
          <w:sz w:val="28"/>
          <w:szCs w:val="28"/>
        </w:rPr>
        <w:t xml:space="preserve"> акт</w:t>
      </w:r>
      <w:r>
        <w:rPr>
          <w:sz w:val="28"/>
          <w:szCs w:val="28"/>
        </w:rPr>
        <w:t>ов</w:t>
      </w:r>
      <w:r w:rsidRPr="00A55CAE">
        <w:rPr>
          <w:sz w:val="28"/>
          <w:szCs w:val="28"/>
        </w:rPr>
        <w:t xml:space="preserve"> Озерского городского округа, регулирующи</w:t>
      </w:r>
      <w:r>
        <w:rPr>
          <w:sz w:val="28"/>
          <w:szCs w:val="28"/>
        </w:rPr>
        <w:t>х</w:t>
      </w:r>
      <w:r w:rsidRPr="00A55CAE">
        <w:rPr>
          <w:sz w:val="28"/>
          <w:szCs w:val="28"/>
        </w:rPr>
        <w:t xml:space="preserve"> вопросы управления муниципальным долгом, предоставления муниципальных гарантий, ведения муниципальной долговой книги муниципального образования</w:t>
      </w:r>
      <w:r>
        <w:rPr>
          <w:sz w:val="28"/>
          <w:szCs w:val="28"/>
        </w:rPr>
        <w:t xml:space="preserve">. </w:t>
      </w:r>
    </w:p>
    <w:p w:rsidR="006F64B7" w:rsidRDefault="00CB64D5" w:rsidP="00E4700E">
      <w:pPr>
        <w:ind w:firstLine="566"/>
        <w:jc w:val="both"/>
        <w:outlineLvl w:val="0"/>
        <w:rPr>
          <w:sz w:val="28"/>
          <w:szCs w:val="28"/>
        </w:rPr>
      </w:pPr>
      <w:r w:rsidRPr="00A55CAE">
        <w:rPr>
          <w:sz w:val="28"/>
          <w:szCs w:val="28"/>
        </w:rPr>
        <w:t xml:space="preserve">Итоги экспертно-аналитического мероприятия </w:t>
      </w:r>
      <w:r>
        <w:rPr>
          <w:sz w:val="28"/>
          <w:szCs w:val="28"/>
        </w:rPr>
        <w:t>направлены</w:t>
      </w:r>
      <w:r w:rsidR="00DD5216">
        <w:rPr>
          <w:sz w:val="28"/>
          <w:szCs w:val="28"/>
        </w:rPr>
        <w:t xml:space="preserve"> в </w:t>
      </w:r>
      <w:r>
        <w:rPr>
          <w:sz w:val="28"/>
          <w:szCs w:val="28"/>
        </w:rPr>
        <w:t>Собрание депутатов Озерского городского округа</w:t>
      </w:r>
      <w:r w:rsidR="00527D06">
        <w:rPr>
          <w:sz w:val="28"/>
          <w:szCs w:val="28"/>
        </w:rPr>
        <w:t>.</w:t>
      </w:r>
    </w:p>
    <w:sectPr w:rsidR="006F64B7" w:rsidSect="00F5245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46149"/>
    <w:multiLevelType w:val="multilevel"/>
    <w:tmpl w:val="BE60016A"/>
    <w:lvl w:ilvl="0">
      <w:start w:val="1"/>
      <w:numFmt w:val="decimal"/>
      <w:lvlText w:val="%1."/>
      <w:lvlJc w:val="left"/>
      <w:pPr>
        <w:ind w:left="644" w:hanging="360"/>
      </w:pPr>
      <w:rPr>
        <w:rFonts w:cs="Times New Roman"/>
        <w:b w:val="0"/>
      </w:rPr>
    </w:lvl>
    <w:lvl w:ilvl="1">
      <w:start w:val="4"/>
      <w:numFmt w:val="decimal"/>
      <w:isLgl/>
      <w:lvlText w:val="%1.%2."/>
      <w:lvlJc w:val="left"/>
      <w:pPr>
        <w:ind w:left="1395" w:hanging="720"/>
      </w:pPr>
      <w:rPr>
        <w:rFonts w:cs="Times New Roman" w:hint="default"/>
      </w:rPr>
    </w:lvl>
    <w:lvl w:ilvl="2">
      <w:start w:val="1"/>
      <w:numFmt w:val="decimal"/>
      <w:isLgl/>
      <w:lvlText w:val="%1.%2.%3."/>
      <w:lvlJc w:val="left"/>
      <w:pPr>
        <w:ind w:left="1786" w:hanging="720"/>
      </w:pPr>
      <w:rPr>
        <w:rFonts w:cs="Times New Roman" w:hint="default"/>
      </w:rPr>
    </w:lvl>
    <w:lvl w:ilvl="3">
      <w:start w:val="1"/>
      <w:numFmt w:val="decimal"/>
      <w:isLgl/>
      <w:lvlText w:val="%1.%2.%3.%4."/>
      <w:lvlJc w:val="left"/>
      <w:pPr>
        <w:ind w:left="2537" w:hanging="1080"/>
      </w:pPr>
      <w:rPr>
        <w:rFonts w:cs="Times New Roman" w:hint="default"/>
      </w:rPr>
    </w:lvl>
    <w:lvl w:ilvl="4">
      <w:start w:val="1"/>
      <w:numFmt w:val="decimal"/>
      <w:isLgl/>
      <w:lvlText w:val="%1.%2.%3.%4.%5."/>
      <w:lvlJc w:val="left"/>
      <w:pPr>
        <w:ind w:left="2928" w:hanging="1080"/>
      </w:pPr>
      <w:rPr>
        <w:rFonts w:cs="Times New Roman" w:hint="default"/>
      </w:rPr>
    </w:lvl>
    <w:lvl w:ilvl="5">
      <w:start w:val="1"/>
      <w:numFmt w:val="decimal"/>
      <w:isLgl/>
      <w:lvlText w:val="%1.%2.%3.%4.%5.%6."/>
      <w:lvlJc w:val="left"/>
      <w:pPr>
        <w:ind w:left="3679" w:hanging="1440"/>
      </w:pPr>
      <w:rPr>
        <w:rFonts w:cs="Times New Roman" w:hint="default"/>
      </w:rPr>
    </w:lvl>
    <w:lvl w:ilvl="6">
      <w:start w:val="1"/>
      <w:numFmt w:val="decimal"/>
      <w:isLgl/>
      <w:lvlText w:val="%1.%2.%3.%4.%5.%6.%7."/>
      <w:lvlJc w:val="left"/>
      <w:pPr>
        <w:ind w:left="4430" w:hanging="1800"/>
      </w:pPr>
      <w:rPr>
        <w:rFonts w:cs="Times New Roman" w:hint="default"/>
      </w:rPr>
    </w:lvl>
    <w:lvl w:ilvl="7">
      <w:start w:val="1"/>
      <w:numFmt w:val="decimal"/>
      <w:isLgl/>
      <w:lvlText w:val="%1.%2.%3.%4.%5.%6.%7.%8."/>
      <w:lvlJc w:val="left"/>
      <w:pPr>
        <w:ind w:left="4821" w:hanging="1800"/>
      </w:pPr>
      <w:rPr>
        <w:rFonts w:cs="Times New Roman" w:hint="default"/>
      </w:rPr>
    </w:lvl>
    <w:lvl w:ilvl="8">
      <w:start w:val="1"/>
      <w:numFmt w:val="decimal"/>
      <w:isLgl/>
      <w:lvlText w:val="%1.%2.%3.%4.%5.%6.%7.%8.%9."/>
      <w:lvlJc w:val="left"/>
      <w:pPr>
        <w:ind w:left="5572" w:hanging="2160"/>
      </w:pPr>
      <w:rPr>
        <w:rFonts w:cs="Times New Roman" w:hint="default"/>
      </w:rPr>
    </w:lvl>
  </w:abstractNum>
  <w:abstractNum w:abstractNumId="1">
    <w:nsid w:val="50C025D1"/>
    <w:multiLevelType w:val="multilevel"/>
    <w:tmpl w:val="D1F2BDFE"/>
    <w:lvl w:ilvl="0">
      <w:start w:val="1"/>
      <w:numFmt w:val="decimal"/>
      <w:lvlText w:val="%1."/>
      <w:lvlJc w:val="left"/>
      <w:pPr>
        <w:ind w:left="786" w:hanging="360"/>
      </w:pPr>
      <w:rPr>
        <w:rFonts w:cs="Times New Roman"/>
      </w:rPr>
    </w:lvl>
    <w:lvl w:ilvl="1">
      <w:start w:val="1"/>
      <w:numFmt w:val="decimal"/>
      <w:isLgl/>
      <w:lvlText w:val="%1.%2."/>
      <w:lvlJc w:val="left"/>
      <w:pPr>
        <w:ind w:left="862" w:hanging="720"/>
      </w:pPr>
      <w:rPr>
        <w:rFonts w:ascii="Times New Roman" w:hAnsi="Times New Roman" w:cs="Times New Roman" w:hint="default"/>
        <w:b w:val="0"/>
        <w:sz w:val="28"/>
        <w:szCs w:val="28"/>
      </w:rPr>
    </w:lvl>
    <w:lvl w:ilvl="2">
      <w:start w:val="1"/>
      <w:numFmt w:val="decimal"/>
      <w:isLgl/>
      <w:lvlText w:val="%1.%2.%3."/>
      <w:lvlJc w:val="left"/>
      <w:pPr>
        <w:ind w:left="1148" w:hanging="720"/>
      </w:pPr>
      <w:rPr>
        <w:rFonts w:cs="Times New Roman" w:hint="default"/>
      </w:rPr>
    </w:lvl>
    <w:lvl w:ilvl="3">
      <w:start w:val="1"/>
      <w:numFmt w:val="decimal"/>
      <w:isLgl/>
      <w:lvlText w:val="%1.%2.%3.%4."/>
      <w:lvlJc w:val="left"/>
      <w:pPr>
        <w:ind w:left="1508" w:hanging="1080"/>
      </w:pPr>
      <w:rPr>
        <w:rFonts w:cs="Times New Roman" w:hint="default"/>
      </w:rPr>
    </w:lvl>
    <w:lvl w:ilvl="4">
      <w:start w:val="1"/>
      <w:numFmt w:val="decimal"/>
      <w:isLgl/>
      <w:lvlText w:val="%1.%2.%3.%4.%5."/>
      <w:lvlJc w:val="left"/>
      <w:pPr>
        <w:ind w:left="1508" w:hanging="1080"/>
      </w:pPr>
      <w:rPr>
        <w:rFonts w:cs="Times New Roman" w:hint="default"/>
      </w:rPr>
    </w:lvl>
    <w:lvl w:ilvl="5">
      <w:start w:val="1"/>
      <w:numFmt w:val="decimal"/>
      <w:isLgl/>
      <w:lvlText w:val="%1.%2.%3.%4.%5.%6."/>
      <w:lvlJc w:val="left"/>
      <w:pPr>
        <w:ind w:left="1868" w:hanging="1440"/>
      </w:pPr>
      <w:rPr>
        <w:rFonts w:cs="Times New Roman" w:hint="default"/>
      </w:rPr>
    </w:lvl>
    <w:lvl w:ilvl="6">
      <w:start w:val="1"/>
      <w:numFmt w:val="decimal"/>
      <w:isLgl/>
      <w:lvlText w:val="%1.%2.%3.%4.%5.%6.%7."/>
      <w:lvlJc w:val="left"/>
      <w:pPr>
        <w:ind w:left="2228" w:hanging="1800"/>
      </w:pPr>
      <w:rPr>
        <w:rFonts w:cs="Times New Roman" w:hint="default"/>
      </w:rPr>
    </w:lvl>
    <w:lvl w:ilvl="7">
      <w:start w:val="1"/>
      <w:numFmt w:val="decimal"/>
      <w:isLgl/>
      <w:lvlText w:val="%1.%2.%3.%4.%5.%6.%7.%8."/>
      <w:lvlJc w:val="left"/>
      <w:pPr>
        <w:ind w:left="2228" w:hanging="1800"/>
      </w:pPr>
      <w:rPr>
        <w:rFonts w:cs="Times New Roman" w:hint="default"/>
      </w:rPr>
    </w:lvl>
    <w:lvl w:ilvl="8">
      <w:start w:val="1"/>
      <w:numFmt w:val="decimal"/>
      <w:isLgl/>
      <w:lvlText w:val="%1.%2.%3.%4.%5.%6.%7.%8.%9."/>
      <w:lvlJc w:val="left"/>
      <w:pPr>
        <w:ind w:left="2588" w:hanging="2160"/>
      </w:pPr>
      <w:rPr>
        <w:rFonts w:cs="Times New Roman" w:hint="default"/>
      </w:rPr>
    </w:lvl>
  </w:abstractNum>
  <w:abstractNum w:abstractNumId="2">
    <w:nsid w:val="63592144"/>
    <w:multiLevelType w:val="singleLevel"/>
    <w:tmpl w:val="FAB6AF98"/>
    <w:lvl w:ilvl="0">
      <w:start w:val="2002"/>
      <w:numFmt w:val="bullet"/>
      <w:lvlText w:val="-"/>
      <w:lvlJc w:val="left"/>
      <w:pPr>
        <w:tabs>
          <w:tab w:val="num" w:pos="930"/>
        </w:tabs>
        <w:ind w:left="93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248"/>
    <w:rsid w:val="0003241F"/>
    <w:rsid w:val="000515F7"/>
    <w:rsid w:val="00075317"/>
    <w:rsid w:val="00083E9A"/>
    <w:rsid w:val="00095357"/>
    <w:rsid w:val="001316F3"/>
    <w:rsid w:val="00135A92"/>
    <w:rsid w:val="00143299"/>
    <w:rsid w:val="0014754B"/>
    <w:rsid w:val="0017288D"/>
    <w:rsid w:val="001749BA"/>
    <w:rsid w:val="00187CA2"/>
    <w:rsid w:val="001A2AB3"/>
    <w:rsid w:val="001C5F8C"/>
    <w:rsid w:val="001C5FBE"/>
    <w:rsid w:val="001D75D4"/>
    <w:rsid w:val="001F244C"/>
    <w:rsid w:val="002211E5"/>
    <w:rsid w:val="002361A4"/>
    <w:rsid w:val="00247528"/>
    <w:rsid w:val="00252FA5"/>
    <w:rsid w:val="0027293A"/>
    <w:rsid w:val="002801C6"/>
    <w:rsid w:val="00293C32"/>
    <w:rsid w:val="002A4310"/>
    <w:rsid w:val="002B507D"/>
    <w:rsid w:val="002D4E7C"/>
    <w:rsid w:val="002D76B7"/>
    <w:rsid w:val="002E128B"/>
    <w:rsid w:val="00303B9F"/>
    <w:rsid w:val="00313BE7"/>
    <w:rsid w:val="00390BF5"/>
    <w:rsid w:val="00393A39"/>
    <w:rsid w:val="003A328E"/>
    <w:rsid w:val="003A4616"/>
    <w:rsid w:val="003C7AEA"/>
    <w:rsid w:val="003D06A5"/>
    <w:rsid w:val="003D5CA2"/>
    <w:rsid w:val="00400863"/>
    <w:rsid w:val="0043030A"/>
    <w:rsid w:val="0043197B"/>
    <w:rsid w:val="004440AE"/>
    <w:rsid w:val="00446FFA"/>
    <w:rsid w:val="00451658"/>
    <w:rsid w:val="004731F6"/>
    <w:rsid w:val="004860A1"/>
    <w:rsid w:val="004A59D4"/>
    <w:rsid w:val="004D75EB"/>
    <w:rsid w:val="004F7676"/>
    <w:rsid w:val="005059CB"/>
    <w:rsid w:val="00517725"/>
    <w:rsid w:val="00527D06"/>
    <w:rsid w:val="00590B79"/>
    <w:rsid w:val="005B3D97"/>
    <w:rsid w:val="00600518"/>
    <w:rsid w:val="00606CE6"/>
    <w:rsid w:val="00634B61"/>
    <w:rsid w:val="00671902"/>
    <w:rsid w:val="00681F64"/>
    <w:rsid w:val="006831F7"/>
    <w:rsid w:val="006A33E5"/>
    <w:rsid w:val="006B107B"/>
    <w:rsid w:val="006D3935"/>
    <w:rsid w:val="006F64B7"/>
    <w:rsid w:val="00704BBA"/>
    <w:rsid w:val="00722E19"/>
    <w:rsid w:val="00746F9F"/>
    <w:rsid w:val="00747FBF"/>
    <w:rsid w:val="007746C7"/>
    <w:rsid w:val="00790355"/>
    <w:rsid w:val="007A7EEC"/>
    <w:rsid w:val="007C2C99"/>
    <w:rsid w:val="007D5FB2"/>
    <w:rsid w:val="007E30A1"/>
    <w:rsid w:val="007E39B9"/>
    <w:rsid w:val="007F1958"/>
    <w:rsid w:val="00836158"/>
    <w:rsid w:val="00846557"/>
    <w:rsid w:val="008555C6"/>
    <w:rsid w:val="00860B1F"/>
    <w:rsid w:val="008675E3"/>
    <w:rsid w:val="00867D1E"/>
    <w:rsid w:val="00881583"/>
    <w:rsid w:val="00887A84"/>
    <w:rsid w:val="008B0AEA"/>
    <w:rsid w:val="008B67EA"/>
    <w:rsid w:val="008C2DF3"/>
    <w:rsid w:val="008D4ECF"/>
    <w:rsid w:val="0091739B"/>
    <w:rsid w:val="00972D30"/>
    <w:rsid w:val="00984AEB"/>
    <w:rsid w:val="00990AA5"/>
    <w:rsid w:val="0099702B"/>
    <w:rsid w:val="009B15F7"/>
    <w:rsid w:val="009D73D9"/>
    <w:rsid w:val="009F5148"/>
    <w:rsid w:val="009F6E42"/>
    <w:rsid w:val="00A32120"/>
    <w:rsid w:val="00A55CAE"/>
    <w:rsid w:val="00A709D9"/>
    <w:rsid w:val="00A746A0"/>
    <w:rsid w:val="00AE3AA8"/>
    <w:rsid w:val="00B1254C"/>
    <w:rsid w:val="00B66248"/>
    <w:rsid w:val="00B90B8F"/>
    <w:rsid w:val="00BA48CC"/>
    <w:rsid w:val="00BA7FB2"/>
    <w:rsid w:val="00BB6BD7"/>
    <w:rsid w:val="00BC5E95"/>
    <w:rsid w:val="00C238C1"/>
    <w:rsid w:val="00C55722"/>
    <w:rsid w:val="00C86424"/>
    <w:rsid w:val="00CA1D25"/>
    <w:rsid w:val="00CA30A3"/>
    <w:rsid w:val="00CB64D5"/>
    <w:rsid w:val="00CF3CF6"/>
    <w:rsid w:val="00D079C1"/>
    <w:rsid w:val="00D1783B"/>
    <w:rsid w:val="00D27D35"/>
    <w:rsid w:val="00D56C16"/>
    <w:rsid w:val="00D75010"/>
    <w:rsid w:val="00D8384F"/>
    <w:rsid w:val="00D851D5"/>
    <w:rsid w:val="00D871C5"/>
    <w:rsid w:val="00D938BF"/>
    <w:rsid w:val="00D94BE7"/>
    <w:rsid w:val="00DD5216"/>
    <w:rsid w:val="00DF78C1"/>
    <w:rsid w:val="00E16831"/>
    <w:rsid w:val="00E253D9"/>
    <w:rsid w:val="00E3279B"/>
    <w:rsid w:val="00E32FE4"/>
    <w:rsid w:val="00E35229"/>
    <w:rsid w:val="00E37056"/>
    <w:rsid w:val="00E4700E"/>
    <w:rsid w:val="00E47AF9"/>
    <w:rsid w:val="00E54DD2"/>
    <w:rsid w:val="00E7081F"/>
    <w:rsid w:val="00EE3970"/>
    <w:rsid w:val="00F06295"/>
    <w:rsid w:val="00F32BB6"/>
    <w:rsid w:val="00F52453"/>
    <w:rsid w:val="00FB5CF9"/>
    <w:rsid w:val="00FC7143"/>
    <w:rsid w:val="00FE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910818-7C34-4E67-B770-ECAE48C6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81F"/>
    <w:rPr>
      <w:rFonts w:ascii="Times New Roman" w:eastAsia="Times New Roman" w:hAnsi="Times New Roman"/>
      <w:sz w:val="20"/>
      <w:szCs w:val="20"/>
    </w:rPr>
  </w:style>
  <w:style w:type="paragraph" w:styleId="2">
    <w:name w:val="heading 2"/>
    <w:basedOn w:val="a"/>
    <w:next w:val="a"/>
    <w:link w:val="20"/>
    <w:uiPriority w:val="99"/>
    <w:qFormat/>
    <w:rsid w:val="00E7081F"/>
    <w:pPr>
      <w:keepNext/>
      <w:spacing w:before="240" w:after="60"/>
      <w:outlineLvl w:val="1"/>
    </w:pPr>
    <w:rPr>
      <w:rFonts w:ascii="Arial" w:hAnsi="Arial" w:cs="Arial"/>
      <w:b/>
      <w:bCs/>
      <w:i/>
      <w:iCs/>
      <w:sz w:val="28"/>
      <w:szCs w:val="28"/>
    </w:rPr>
  </w:style>
  <w:style w:type="paragraph" w:styleId="6">
    <w:name w:val="heading 6"/>
    <w:basedOn w:val="a"/>
    <w:next w:val="a"/>
    <w:link w:val="60"/>
    <w:uiPriority w:val="99"/>
    <w:qFormat/>
    <w:rsid w:val="008C2DF3"/>
    <w:pPr>
      <w:keepNext/>
      <w:keepLines/>
      <w:spacing w:before="40"/>
      <w:outlineLvl w:val="5"/>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E7081F"/>
    <w:rPr>
      <w:rFonts w:ascii="Arial" w:hAnsi="Arial" w:cs="Arial"/>
      <w:b/>
      <w:bCs/>
      <w:i/>
      <w:iCs/>
      <w:sz w:val="28"/>
      <w:szCs w:val="28"/>
      <w:lang w:eastAsia="ru-RU"/>
    </w:rPr>
  </w:style>
  <w:style w:type="character" w:customStyle="1" w:styleId="60">
    <w:name w:val="Заголовок 6 Знак"/>
    <w:basedOn w:val="a0"/>
    <w:link w:val="6"/>
    <w:uiPriority w:val="99"/>
    <w:semiHidden/>
    <w:locked/>
    <w:rsid w:val="008C2DF3"/>
    <w:rPr>
      <w:rFonts w:ascii="Calibri Light" w:hAnsi="Calibri Light" w:cs="Times New Roman"/>
      <w:color w:val="1F4D78"/>
      <w:sz w:val="20"/>
      <w:szCs w:val="20"/>
      <w:lang w:eastAsia="ru-RU"/>
    </w:rPr>
  </w:style>
  <w:style w:type="paragraph" w:styleId="a3">
    <w:name w:val="Body Text"/>
    <w:aliases w:val="Основной текст Знак1,Основной текст Знак Знак,Знак Знак Знак Знак Знак Знак Знак,Знак Знак Знак Знак Знак Знак Знак Знак Знак Знак,Знак Знак Знак Знак Знак,Знак Знак Знак, Знак Знак Знак Знак Знак Знак Знак, Знак Знак Знак Знак Знак"/>
    <w:basedOn w:val="a"/>
    <w:link w:val="a4"/>
    <w:rsid w:val="00E7081F"/>
    <w:pPr>
      <w:jc w:val="both"/>
    </w:pPr>
    <w:rPr>
      <w:sz w:val="28"/>
    </w:rPr>
  </w:style>
  <w:style w:type="character" w:customStyle="1" w:styleId="a4">
    <w:name w:val="Основной текст Знак"/>
    <w:aliases w:val="Основной текст Знак1 Знак,Основной текст Знак Знак Знак,Знак Знак Знак Знак Знак Знак Знак Знак,Знак Знак Знак Знак Знак Знак Знак Знак Знак Знак Знак,Знак Знак Знак Знак Знак Знак,Знак Знак Знак Знак, Знак Знак Знак Знак Знак Знак"/>
    <w:basedOn w:val="a0"/>
    <w:link w:val="a3"/>
    <w:locked/>
    <w:rsid w:val="00E7081F"/>
    <w:rPr>
      <w:rFonts w:ascii="Times New Roman" w:hAnsi="Times New Roman" w:cs="Times New Roman"/>
      <w:sz w:val="20"/>
      <w:szCs w:val="20"/>
      <w:lang w:eastAsia="ru-RU"/>
    </w:rPr>
  </w:style>
  <w:style w:type="paragraph" w:customStyle="1" w:styleId="61">
    <w:name w:val="Стиль6"/>
    <w:basedOn w:val="a"/>
    <w:link w:val="62"/>
    <w:uiPriority w:val="99"/>
    <w:rsid w:val="00704BBA"/>
    <w:pPr>
      <w:jc w:val="both"/>
    </w:pPr>
    <w:rPr>
      <w:rFonts w:eastAsia="Calibri"/>
      <w:sz w:val="28"/>
      <w:szCs w:val="28"/>
    </w:rPr>
  </w:style>
  <w:style w:type="character" w:customStyle="1" w:styleId="62">
    <w:name w:val="Стиль6 Знак"/>
    <w:link w:val="61"/>
    <w:uiPriority w:val="99"/>
    <w:locked/>
    <w:rsid w:val="00704BBA"/>
    <w:rPr>
      <w:rFonts w:ascii="Times New Roman" w:eastAsia="Times New Roman" w:hAnsi="Times New Roman"/>
      <w:sz w:val="28"/>
    </w:rPr>
  </w:style>
  <w:style w:type="paragraph" w:customStyle="1" w:styleId="8">
    <w:name w:val="Стиль8"/>
    <w:basedOn w:val="a"/>
    <w:link w:val="80"/>
    <w:uiPriority w:val="99"/>
    <w:rsid w:val="00D938BF"/>
    <w:pPr>
      <w:jc w:val="both"/>
    </w:pPr>
    <w:rPr>
      <w:rFonts w:eastAsia="Calibri"/>
      <w:sz w:val="28"/>
      <w:szCs w:val="28"/>
    </w:rPr>
  </w:style>
  <w:style w:type="character" w:customStyle="1" w:styleId="80">
    <w:name w:val="Стиль8 Знак"/>
    <w:link w:val="8"/>
    <w:uiPriority w:val="99"/>
    <w:locked/>
    <w:rsid w:val="00D938BF"/>
    <w:rPr>
      <w:rFonts w:ascii="Times New Roman" w:eastAsia="Times New Roman" w:hAnsi="Times New Roman"/>
      <w:sz w:val="28"/>
    </w:rPr>
  </w:style>
  <w:style w:type="paragraph" w:styleId="a5">
    <w:name w:val="List Paragraph"/>
    <w:basedOn w:val="a"/>
    <w:uiPriority w:val="99"/>
    <w:qFormat/>
    <w:rsid w:val="007E30A1"/>
    <w:pPr>
      <w:ind w:left="720"/>
      <w:contextualSpacing/>
    </w:pPr>
  </w:style>
  <w:style w:type="paragraph" w:styleId="a6">
    <w:name w:val="Balloon Text"/>
    <w:basedOn w:val="a"/>
    <w:link w:val="a7"/>
    <w:uiPriority w:val="99"/>
    <w:semiHidden/>
    <w:rsid w:val="00E54DD2"/>
    <w:rPr>
      <w:rFonts w:ascii="Segoe UI" w:hAnsi="Segoe UI" w:cs="Segoe UI"/>
      <w:sz w:val="18"/>
      <w:szCs w:val="18"/>
    </w:rPr>
  </w:style>
  <w:style w:type="character" w:customStyle="1" w:styleId="a7">
    <w:name w:val="Текст выноски Знак"/>
    <w:basedOn w:val="a0"/>
    <w:link w:val="a6"/>
    <w:uiPriority w:val="99"/>
    <w:semiHidden/>
    <w:locked/>
    <w:rsid w:val="00E54DD2"/>
    <w:rPr>
      <w:rFonts w:ascii="Segoe UI" w:hAnsi="Segoe UI" w:cs="Segoe UI"/>
      <w:sz w:val="18"/>
      <w:szCs w:val="18"/>
      <w:lang w:eastAsia="ru-RU"/>
    </w:rPr>
  </w:style>
  <w:style w:type="paragraph" w:customStyle="1" w:styleId="14">
    <w:name w:val="Стиль14"/>
    <w:basedOn w:val="3"/>
    <w:link w:val="140"/>
    <w:uiPriority w:val="99"/>
    <w:rsid w:val="003A4616"/>
    <w:pPr>
      <w:suppressAutoHyphens/>
      <w:spacing w:after="0"/>
      <w:ind w:left="0"/>
      <w:jc w:val="both"/>
    </w:pPr>
    <w:rPr>
      <w:rFonts w:eastAsia="Calibri"/>
      <w:color w:val="002060"/>
      <w:sz w:val="28"/>
      <w:szCs w:val="28"/>
    </w:rPr>
  </w:style>
  <w:style w:type="character" w:customStyle="1" w:styleId="140">
    <w:name w:val="Стиль14 Знак"/>
    <w:link w:val="14"/>
    <w:uiPriority w:val="99"/>
    <w:locked/>
    <w:rsid w:val="003A4616"/>
    <w:rPr>
      <w:rFonts w:ascii="Times New Roman" w:eastAsia="Times New Roman" w:hAnsi="Times New Roman"/>
      <w:color w:val="002060"/>
      <w:sz w:val="28"/>
      <w:lang w:eastAsia="ru-RU"/>
    </w:rPr>
  </w:style>
  <w:style w:type="paragraph" w:styleId="3">
    <w:name w:val="Body Text Indent 3"/>
    <w:basedOn w:val="a"/>
    <w:link w:val="30"/>
    <w:uiPriority w:val="99"/>
    <w:semiHidden/>
    <w:rsid w:val="003A4616"/>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3A4616"/>
    <w:rPr>
      <w:rFonts w:ascii="Times New Roman" w:hAnsi="Times New Roman" w:cs="Times New Roman"/>
      <w:sz w:val="16"/>
      <w:szCs w:val="16"/>
      <w:lang w:eastAsia="ru-RU"/>
    </w:rPr>
  </w:style>
  <w:style w:type="paragraph" w:styleId="a8">
    <w:name w:val="Body Text Indent"/>
    <w:basedOn w:val="a"/>
    <w:link w:val="a9"/>
    <w:uiPriority w:val="99"/>
    <w:rsid w:val="004A59D4"/>
    <w:pPr>
      <w:spacing w:after="120"/>
      <w:ind w:left="283"/>
    </w:pPr>
  </w:style>
  <w:style w:type="character" w:customStyle="1" w:styleId="a9">
    <w:name w:val="Основной текст с отступом Знак"/>
    <w:basedOn w:val="a0"/>
    <w:link w:val="a8"/>
    <w:uiPriority w:val="99"/>
    <w:semiHidden/>
    <w:rsid w:val="00F02AA4"/>
    <w:rPr>
      <w:rFonts w:ascii="Times New Roman" w:eastAsia="Times New Roman" w:hAnsi="Times New Roman"/>
      <w:sz w:val="20"/>
      <w:szCs w:val="20"/>
    </w:rPr>
  </w:style>
  <w:style w:type="paragraph" w:customStyle="1" w:styleId="ConsPlusNormal">
    <w:name w:val="ConsPlusNormal"/>
    <w:uiPriority w:val="99"/>
    <w:rsid w:val="007F1958"/>
    <w:pPr>
      <w:widowControl w:val="0"/>
      <w:autoSpaceDE w:val="0"/>
      <w:autoSpaceDN w:val="0"/>
      <w:adjustRightInd w:val="0"/>
      <w:ind w:firstLine="720"/>
    </w:pPr>
    <w:rPr>
      <w:rFonts w:ascii="Arial" w:eastAsia="Times New Roman" w:hAnsi="Arial" w:cs="Arial"/>
      <w:sz w:val="20"/>
      <w:szCs w:val="20"/>
    </w:rPr>
  </w:style>
  <w:style w:type="paragraph" w:customStyle="1" w:styleId="headertexttopleveltextcentertext">
    <w:name w:val="headertext topleveltext centertext"/>
    <w:basedOn w:val="a"/>
    <w:rsid w:val="00CB64D5"/>
    <w:pPr>
      <w:spacing w:before="100" w:beforeAutospacing="1" w:after="100" w:afterAutospacing="1"/>
    </w:pPr>
    <w:rPr>
      <w:rFonts w:eastAsia="Calibri"/>
      <w:sz w:val="24"/>
      <w:szCs w:val="24"/>
    </w:rPr>
  </w:style>
  <w:style w:type="paragraph" w:styleId="aa">
    <w:name w:val="Document Map"/>
    <w:basedOn w:val="a"/>
    <w:link w:val="ab"/>
    <w:uiPriority w:val="99"/>
    <w:semiHidden/>
    <w:unhideWhenUsed/>
    <w:rsid w:val="00FE5725"/>
    <w:rPr>
      <w:rFonts w:ascii="Segoe UI" w:hAnsi="Segoe UI" w:cs="Segoe UI"/>
      <w:sz w:val="16"/>
      <w:szCs w:val="16"/>
    </w:rPr>
  </w:style>
  <w:style w:type="character" w:customStyle="1" w:styleId="ab">
    <w:name w:val="Схема документа Знак"/>
    <w:basedOn w:val="a0"/>
    <w:link w:val="aa"/>
    <w:uiPriority w:val="99"/>
    <w:semiHidden/>
    <w:rsid w:val="00FE5725"/>
    <w:rPr>
      <w:rFonts w:ascii="Segoe UI" w:eastAsia="Times New Roman"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2</Pages>
  <Words>752</Words>
  <Characters>4291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Ycer</dc:creator>
  <cp:keywords/>
  <dc:description/>
  <cp:lastModifiedBy>*</cp:lastModifiedBy>
  <cp:revision>42</cp:revision>
  <cp:lastPrinted>2024-06-26T10:50:00Z</cp:lastPrinted>
  <dcterms:created xsi:type="dcterms:W3CDTF">2022-04-11T11:48:00Z</dcterms:created>
  <dcterms:modified xsi:type="dcterms:W3CDTF">2024-07-01T04:44:00Z</dcterms:modified>
</cp:coreProperties>
</file>